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443</w:t>
      </w:r>
    </w:p>
    <w:p>
      <w:r>
        <w:t>Bundesgericht (BGE), 1993-08-05, FR</w:t>
      </w:r>
    </w:p>
    <w:p>
      <w:r>
        <w:rPr>
          <w:b/>
        </w:rPr>
        <w:t xml:space="preserve">Quelle: </w:t>
      </w:r>
      <w:r>
        <w:t>https://mcp.opencaselaw.ch/entscheid/bge_119 II 443</w:t>
      </w:r>
    </w:p>
    <w:p>
      <w:r>
        <w:t>FR: ATF 119 II 443</w:t>
      </w:r>
    </w:p>
    <w:p>
      <w:r>
        <w:t>IT: DTF 119 II 443</w:t>
      </w:r>
    </w:p>
    <w:p>
      <w:pPr>
        <w:pStyle w:val="Heading2"/>
      </w:pPr>
      <w:r>
        <w:t>Regeste</w:t>
      </w:r>
    </w:p>
    <w:p>
      <w:r>
        <w:t>Regeste Verantwortlichkeit des Mieters eines Personenwagens; Kaskoversicherung. 1. Einfluss der Ungewöhnlichkeitsregel (E. 1a) und der Lesbarkeit (E. 1b) auf die Gültigkeit von vorformulierten allgemeinen Geschäftsbedingungen. 2. Eine Klausel über die Haftung des Mieters in den allgemeinen Geschäftsbedingungen des Autovermieters, die erheblich von den üblichen Regeln der Kaskoversicherung abweicht, ist nach Art. 8 lit. a UWG unlauter (E. 1c). 3. Schweres Verschulden im Sinne von Art. 14 Abs. 2 VVG (E. 2a); Verantwortlichkeit des Mieters (E. 2b).</w:t>
      </w:r>
    </w:p>
    <w:p>
      <w:pPr>
        <w:pStyle w:val="Heading2"/>
      </w:pPr>
      <w:r>
        <w:t>Erwägungen</w:t>
      </w:r>
    </w:p>
    <w:p>
      <w:r>
        <w:rPr>
          <w:b/>
        </w:rPr>
        <w:t>E. 1</w:t>
      </w:r>
    </w:p>
    <w:p>
      <w:r>
        <w:t>L'autorité cantonale a retenu, en se fondant notamment sur le témoignage de l'administrateur de la demanderesse, que les parties, lors de la signature du contrat du 27 avril 1990, ont entendu conclure une assurance-casco complète, comme l'atteste le fait que le défendeur a accepté la clause "CDW" dudit contrat, laquelle est l'abréviation de l'expression anglaise "collision damage waiver". Cette constatation lie le Tribunal fédéral en instance de réforme ( art. 63 al. 2 OJ ). Invoquant l'art. 10 de ses conditions générales, la demanderesse reproche toutefois à la cour cantonale d'avoir violé l' art. 18 CO en donnant à la clause "CDW" en cause une signification contraire au sens objectif que devait lui donner raisonnablement et de bonne foi le défendeur. a) Il est de jurisprudence que celui qui signe un texte comportant une référence expresse à des conditions générales est lié au même titre que celui qui appose sa signature sur le texte même des conditions générales. Il importe peu à cet égard qu'il ait réellement lu les conditions générales en question ( ATF 109 II 456 consid. 4, 108 II BGE 119 II 443 S. 446 418 consid. 1b). La validité des conditions générales d'affaires préformées doit être limitée par la règle dite de l'inhabituel, ou de l'insolite (Ungewöhnlichkeitsregel). En vertu de cette règle sont soustraites de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 ATF 109 II 456 consid. 4; KRAMER, n. 201 ss ad art. 1 CO ; OR-BUCHER, n. 60 ad art. 1 CO ; DESSEMONTET, Le contrôle judiciaire des conditions générales, in La nouvelle loi fédérale contre la concurrence déloyale, Cedidac 1988, p. 60 ss).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 ATF 109 II 458 consid. 5b et les références). Plus une clause porte atteinte aux intérêts juridiques du contractant, plus il se justifie de la considérer comme insolite ( ATF 109 II 457 consid. 4 in fine). b) En l'espèce, le défendeur a apposé sa signature sur un contrat qui renvoyait expressément aux "conditions de location" de la demanderesse. L'art. 10 de ces conditions générales n'était pourtant nullement mis en évidence; au contraire, il était rédigé en petits caractères (cf. au sujet de l'exigence de lisibilité des conditions générales KRAMER, n. 207 ad art. 1 CO , et MERZ, Le contrôle judiciaire des conditions générales du contrat en droit suisse, SJ 1975 p. 193 ss, spéc. p. 199). L'autorité cantonale a retenu sans être critiquée que l'attention de S. n'avait pas été spécialement attirée sur l'existence de l'art. 10 en cause, dont la lecture, à supposer que le défendeur ait pris connaissance des conditions générales avant de signer le contrat du 27 avril 1990, était au surplus rendue difficile en raison de la typographie utilisée. Cette disposition ne lui est donc opposable en vertu BGE 119 II 443 S. 447 de la règle de l'insolite que dans la mesure où elle ne modifie pas essentiellement la nature du contrat. Les juges cantonaux ont qualifié à bon droit d'inhabituel l'art. 10 précité. En effet, en acceptant la clause "CDW", S. avait conclu une assurance-casco complète. Il pouvait donc partir de l'idée que s'il devait un jour commettre une violation simple des règles de la circulation routière, sa responsabilité ne serait pas engagée à l'égard de la bailleresse pour le dommage causé au véhicule loué. Il n'avait pas à prendre en compte le fait que cette clause, en s'écartant des règles usuelles en matière d'assurance-casco, affaiblissait considérablement sa situation juridique. Quant à la demanderesse, faute d'avoir sollicité l'attention du défendeur à cet égard, elle aurait dû savoir, en vertu du principe de la confiance, que S. ne voulait pas d'une assurance étendant de manière inhabituelle sa responsabilité pour les dommages survenant au véhicule loué en raison d'une collision. Il suit de là que l'art. 10 des conditions générales de la demanderesse n'est pas opposable au défendeur. c) Quand bien même la demanderesse aurait signalé au défendeur l'existence de l'art. 10 de ses conditions générales, elle ne pourrait se retrancher derrière cette disposition pour rendre S. responsable de l'entier du dommage. L'art. 8 de la loi fédérale contre la concurrence déloyale (LCD, RS 241) prescrit qu'agit de façon déloyale celui qui, notamment, utilise des conditions générales préalablement formulées, qui sont de nature à provoquer une erreur au détriment d'une partie contractante et qui dérogent notablement au régime légal (let. a) ou prévoient une répartition des droits et des obligations s'écartant notablement de celle qui découle de la nature du contrat (let. b). Or, précisément, le libellé de l'art. 10 des conditions générales en cause est ambigu, comme le Tribunal fédéral avait déjà eu l'occasion de le préciser à la demanderesse dans une cause où elle était partie (consid. 1 non publié de l' ATF 114 II 342 ). Lisant les deux premières phrases de cette disposition, le lecteur candide peut se persuader qu'il a passé une assurance-casco complète; on peine sinon à comprendre le sens de la réglementation relative à la suppression de la franchise, qui a pour effet de "dégager le locataire de toute responsabilité pour des dommages de collision". C'est pourquoi la troisième phrase de l'art. 10 jette la confusion en affirmant la responsabilité du locataire pour toute faute, si légère soit-elle. Dans ces conditions, il y a lieu d'admettre que la limitation de la couverture d'assurance instaurée par l'art. 10 au détriment du défendeur s'écarte par trop des règles usuelles de l'assurance-casco, voire de la réglementation de l'art. 14 de la loi fédérale sur le contrat d'assurance (LCA, RS 221.229.1), BGE 119 II 443 S. 448 de sorte que les prévisions de l' art. 8 let. a LCD devraient être réalisées (cf. ATF 117 II 333 consid. 5; DESSEMONTET, op.cit., p. 65 ss). On peut se dispenser d'examiner si cette disposition pourrait être appliquée d'office en l'espèce ou s'il conviendrait qu'elle fasse l'objet d'un chef de conclusions spécial du défendeur (cf. GAUCH, Die Verwendung "missbräuchlicher Geschäftsbedingungen", Droit de la construction 1987, p. 57/58), dans la mesure où l'art. 10 des conditions d'affaires d'A. S.A. ne doit déployer aucun effet juridique conformément à la règle de l'insolite. De même peut rester indécis le point de savoir si, à considérer la formulation équivoque de l'art. 10 en cause, la demanderesse ne devrait pas déjà accepter que la responsabilité du défendeur à son égard soit réduite, en application de la règle dite de l'interprétation des clauses ambiguës (Unklarheitsregel) ( ATF 117 II 621 consid. 6c, ATF 115 II 268 consid. 5a).</w:t>
      </w:r>
    </w:p>
    <w:p>
      <w:r>
        <w:rPr>
          <w:b/>
        </w:rPr>
        <w:t>E. 2</w:t>
      </w:r>
    </w:p>
    <w:p>
      <w:r>
        <w:t>L'autorité cantonale a admis à juste titre que le défendeur devait être placé dans la situation qui aurait été la sienne s'il avait loué un véhicule assuré en casco aux conditions habituelles de cette assurance. Faisant appel aux règles posées par la loi sur le contrat d'assurance, les juges cantonaux ont considéré que le défendeur avait endommagé le véhicule loué en commettant une faute grave au sens de l' art. 14 al. 2 LCA . A leurs yeux, la perte de maîtrise du véhicule, qui en a entraîné la destruction complète, est due au fait que S. était pris de boisson, ce qui constitue une faute grave de sa part, même si son taux d'alcoolémie, avec 0,72-0,73g%o, n'atteignait pas tout à fait la limite légale de 0,8g%o. a) L' art. 14 al. 4 LCA dispose que si le sinistre est dû à une faute légère de l'ayant droit, la responsabilité de l'assureur demeure entière. En revanche, l'assureur n'est pas lié si le sinistre a été causé intentionnellement par l'ayant droit ( art. 14 al. 1 LCA ). Enfin, si l'ayant droit a causé l'événement assuré par une faute grave, l'assureur est autorisé à réduire sa prestation dans la mesure répondant au degré de la faute ( art. 14 al. 2 LCA ). Commet une faute grave celui qui viole un devoir élémentaire de prudence dont le respect s'impose à toute personne raisonnable placée dans la même situation ( ATF 95 II 340 consid. 6a, ATF 93 II 352 consid. 5, ATF 92 II 253 consid. 2; arrêt du Tribunal fédéral du 29 septembre 1988, consid. 3a, publié in SJ 1989, p. 105). b) Dans son recours joint, le défendeur ne conteste pas que le dommage survenu au véhicule loué est dû à son comportement gravement fautif. Il prétend toutefois que l'autorité cantonale a violé le droit fédéral en le condamnant à verser 7'500 francs à la demanderesse. BGE 119 II 443 S. 449 Seul l'assureur-casco, affirme-t-il, était en droit de lui réclamer une participation au dommage dépassant le montant de la franchise contractuelle, mais non le bailleur. Le défendeur semble oublier qu'il répond du dommage causé à la chose louée en vertu de l'art. 271 aCO; il est donc tenu envers la demanderesse de réparer le préjudice qu'elle a subi, tant que celle-ci n'a pas été désintéressée par une assurance. La responsabilité du locataire ne peut être diminuée qu'au point de vue des rapports internes, en ce sens qu'après avoir indemnisé le bailleur, le premier est à même, suivant les circonstances, d'exercer un droit de recours contre l'assureur-casco du second ( ATF 114 II 342 et les arrêts cités). Le recours joint du défendeur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